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4F6BED" w:rsidRPr="004F6BED">
        <w:rPr>
          <w:sz w:val="24"/>
          <w:szCs w:val="24"/>
          <w:u w:val="single"/>
        </w:rPr>
        <w:t>Broward County Parks and Recreation</w:t>
      </w:r>
      <w:r>
        <w:rPr>
          <w:sz w:val="24"/>
          <w:szCs w:val="24"/>
        </w:rPr>
        <w:t>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4F6BED">
        <w:rPr>
          <w:sz w:val="24"/>
          <w:szCs w:val="24"/>
          <w:u w:val="single"/>
        </w:rPr>
        <w:t>Nicolas Ortiz_</w:t>
      </w:r>
      <w:r>
        <w:rPr>
          <w:sz w:val="24"/>
          <w:szCs w:val="24"/>
        </w:rPr>
        <w:t>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4F6BED">
        <w:rPr>
          <w:sz w:val="24"/>
          <w:szCs w:val="24"/>
          <w:u w:val="single"/>
        </w:rPr>
        <w:t>niortiz@broward.org</w:t>
      </w:r>
      <w:r>
        <w:rPr>
          <w:sz w:val="24"/>
          <w:szCs w:val="24"/>
        </w:rPr>
        <w:t>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Phone with Area Code:  </w:t>
      </w:r>
      <w:r w:rsidR="004F6BED">
        <w:rPr>
          <w:sz w:val="24"/>
          <w:szCs w:val="24"/>
          <w:u w:val="single"/>
        </w:rPr>
        <w:t>954-357-8164</w:t>
      </w:r>
      <w:r>
        <w:rPr>
          <w:sz w:val="24"/>
          <w:szCs w:val="24"/>
        </w:rPr>
        <w:t>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8E1F5"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p>
    <w:p w:rsidR="00944353" w:rsidRDefault="00BC2F79" w:rsidP="00EF76E5">
      <w:pPr>
        <w:jc w:val="center"/>
        <w:rPr>
          <w:sz w:val="24"/>
        </w:rPr>
      </w:pPr>
      <w:r w:rsidRPr="00BC2F79">
        <w:rPr>
          <w:sz w:val="24"/>
        </w:rPr>
        <w:t>Attracting/creating opportunity for local vendors to conduct business on park property</w:t>
      </w:r>
    </w:p>
    <w:p w:rsidR="00BC2F79" w:rsidRDefault="00BC2F79" w:rsidP="00EF76E5">
      <w:pPr>
        <w:jc w:val="center"/>
        <w:rPr>
          <w:sz w:val="24"/>
        </w:rPr>
      </w:pPr>
    </w:p>
    <w:p w:rsidR="00BC2F79" w:rsidRPr="00992398" w:rsidRDefault="00BC2F79"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BB4CBE">
        <w:rPr>
          <w:rFonts w:asciiTheme="minorHAnsi" w:hAnsiTheme="minorHAnsi"/>
          <w:sz w:val="24"/>
          <w:szCs w:val="24"/>
        </w:rPr>
        <w:t xml:space="preserve">: </w:t>
      </w:r>
    </w:p>
    <w:p w:rsidR="00BB4CBE" w:rsidRPr="009A5356" w:rsidRDefault="00BB4CBE" w:rsidP="00BB4CBE">
      <w:pPr>
        <w:rPr>
          <w:rFonts w:ascii="Arial" w:hAnsi="Arial" w:cs="Arial"/>
          <w:sz w:val="24"/>
          <w:szCs w:val="24"/>
        </w:rPr>
      </w:pPr>
      <w:r w:rsidRPr="009A5356">
        <w:rPr>
          <w:rFonts w:ascii="Arial" w:hAnsi="Arial" w:cs="Arial"/>
          <w:sz w:val="24"/>
          <w:szCs w:val="24"/>
        </w:rPr>
        <w:t xml:space="preserve">2009 Broward County Board of County Commissioners signed a policy for all vendors </w:t>
      </w:r>
      <w:r>
        <w:rPr>
          <w:rFonts w:ascii="Arial" w:hAnsi="Arial" w:cs="Arial"/>
          <w:sz w:val="24"/>
          <w:szCs w:val="24"/>
        </w:rPr>
        <w:t>who conduct</w:t>
      </w:r>
      <w:r w:rsidRPr="009A5356">
        <w:rPr>
          <w:rFonts w:ascii="Arial" w:hAnsi="Arial" w:cs="Arial"/>
          <w:sz w:val="24"/>
          <w:szCs w:val="24"/>
        </w:rPr>
        <w:t xml:space="preserve"> business in Broward County Parks must go through a vendor </w:t>
      </w:r>
      <w:r>
        <w:rPr>
          <w:rFonts w:ascii="Arial" w:hAnsi="Arial" w:cs="Arial"/>
          <w:sz w:val="24"/>
          <w:szCs w:val="24"/>
        </w:rPr>
        <w:t xml:space="preserve">registration </w:t>
      </w:r>
      <w:r w:rsidRPr="009A5356">
        <w:rPr>
          <w:rFonts w:ascii="Arial" w:hAnsi="Arial" w:cs="Arial"/>
          <w:sz w:val="24"/>
          <w:szCs w:val="24"/>
        </w:rPr>
        <w:t>process.</w:t>
      </w:r>
      <w:r>
        <w:rPr>
          <w:rFonts w:ascii="Arial" w:hAnsi="Arial" w:cs="Arial"/>
          <w:sz w:val="24"/>
          <w:szCs w:val="24"/>
        </w:rPr>
        <w:t xml:space="preserve">  The registration process and paperwork is available on the Parks website. (</w:t>
      </w:r>
      <w:hyperlink r:id="rId10" w:history="1">
        <w:r w:rsidRPr="00A96F82">
          <w:rPr>
            <w:rStyle w:val="Hyperlink"/>
            <w:rFonts w:ascii="Arial" w:hAnsi="Arial" w:cs="Arial"/>
            <w:sz w:val="24"/>
            <w:szCs w:val="24"/>
          </w:rPr>
          <w:t>www.broward.org/parks</w:t>
        </w:r>
      </w:hyperlink>
      <w:r>
        <w:rPr>
          <w:rFonts w:ascii="Arial" w:hAnsi="Arial" w:cs="Arial"/>
          <w:sz w:val="24"/>
          <w:szCs w:val="24"/>
        </w:rPr>
        <w:t>)</w:t>
      </w:r>
    </w:p>
    <w:p w:rsidR="00BB4CBE" w:rsidRPr="009A5356" w:rsidRDefault="00BB4CBE" w:rsidP="00BB4CBE">
      <w:pPr>
        <w:rPr>
          <w:rFonts w:ascii="Arial" w:hAnsi="Arial" w:cs="Arial"/>
          <w:sz w:val="24"/>
          <w:szCs w:val="24"/>
        </w:rPr>
      </w:pPr>
      <w:r>
        <w:rPr>
          <w:rFonts w:ascii="Arial" w:hAnsi="Arial" w:cs="Arial"/>
          <w:sz w:val="24"/>
          <w:szCs w:val="24"/>
        </w:rPr>
        <w:t>The</w:t>
      </w:r>
      <w:r w:rsidRPr="009A5356">
        <w:rPr>
          <w:rFonts w:ascii="Arial" w:hAnsi="Arial" w:cs="Arial"/>
          <w:sz w:val="24"/>
          <w:szCs w:val="24"/>
        </w:rPr>
        <w:t xml:space="preserve"> process consists of </w:t>
      </w:r>
      <w:r>
        <w:rPr>
          <w:rFonts w:ascii="Arial" w:hAnsi="Arial" w:cs="Arial"/>
          <w:sz w:val="24"/>
          <w:szCs w:val="24"/>
        </w:rPr>
        <w:t xml:space="preserve">the vendors to provide </w:t>
      </w:r>
      <w:r w:rsidRPr="009A5356">
        <w:rPr>
          <w:rFonts w:ascii="Arial" w:hAnsi="Arial" w:cs="Arial"/>
          <w:sz w:val="24"/>
          <w:szCs w:val="24"/>
        </w:rPr>
        <w:t>the following:</w:t>
      </w:r>
    </w:p>
    <w:p w:rsidR="00BB4CBE" w:rsidRPr="009A5356" w:rsidRDefault="00BB4CBE" w:rsidP="00BB4CBE">
      <w:pPr>
        <w:pStyle w:val="ListParagraph"/>
        <w:numPr>
          <w:ilvl w:val="0"/>
          <w:numId w:val="1"/>
        </w:numPr>
        <w:rPr>
          <w:rFonts w:ascii="Arial" w:hAnsi="Arial" w:cs="Arial"/>
          <w:sz w:val="24"/>
          <w:szCs w:val="24"/>
        </w:rPr>
      </w:pPr>
      <w:r w:rsidRPr="009A5356">
        <w:rPr>
          <w:rFonts w:ascii="Arial" w:hAnsi="Arial" w:cs="Arial"/>
          <w:sz w:val="24"/>
          <w:szCs w:val="24"/>
        </w:rPr>
        <w:t>A vendor Application</w:t>
      </w:r>
    </w:p>
    <w:p w:rsidR="00BB4CBE" w:rsidRPr="009A5356" w:rsidRDefault="00BB4CBE" w:rsidP="00BB4CBE">
      <w:pPr>
        <w:pStyle w:val="ListParagraph"/>
        <w:numPr>
          <w:ilvl w:val="0"/>
          <w:numId w:val="1"/>
        </w:numPr>
        <w:rPr>
          <w:rFonts w:ascii="Arial" w:hAnsi="Arial" w:cs="Arial"/>
          <w:sz w:val="24"/>
          <w:szCs w:val="24"/>
        </w:rPr>
      </w:pPr>
      <w:r w:rsidRPr="009A5356">
        <w:rPr>
          <w:rFonts w:ascii="Arial" w:hAnsi="Arial" w:cs="Arial"/>
          <w:sz w:val="24"/>
          <w:szCs w:val="24"/>
        </w:rPr>
        <w:t>A</w:t>
      </w:r>
      <w:r>
        <w:rPr>
          <w:rFonts w:ascii="Arial" w:hAnsi="Arial" w:cs="Arial"/>
          <w:sz w:val="24"/>
          <w:szCs w:val="24"/>
        </w:rPr>
        <w:t>n Affidavit of</w:t>
      </w:r>
      <w:r w:rsidRPr="009A5356">
        <w:rPr>
          <w:rFonts w:ascii="Arial" w:hAnsi="Arial" w:cs="Arial"/>
          <w:sz w:val="24"/>
          <w:szCs w:val="24"/>
        </w:rPr>
        <w:t xml:space="preserve"> Criminal Background Check</w:t>
      </w:r>
      <w:r>
        <w:rPr>
          <w:rFonts w:ascii="Arial" w:hAnsi="Arial" w:cs="Arial"/>
          <w:sz w:val="24"/>
          <w:szCs w:val="24"/>
        </w:rPr>
        <w:t xml:space="preserve"> (this is performed by searching the website </w:t>
      </w:r>
      <w:hyperlink r:id="rId11" w:history="1">
        <w:r w:rsidRPr="00A96F82">
          <w:rPr>
            <w:rStyle w:val="Hyperlink"/>
            <w:rFonts w:ascii="Arial" w:hAnsi="Arial" w:cs="Arial"/>
            <w:sz w:val="24"/>
            <w:szCs w:val="24"/>
          </w:rPr>
          <w:t>www.fdle.state.fl.us</w:t>
        </w:r>
      </w:hyperlink>
      <w:r>
        <w:rPr>
          <w:rFonts w:ascii="Arial" w:hAnsi="Arial" w:cs="Arial"/>
          <w:sz w:val="24"/>
          <w:szCs w:val="24"/>
        </w:rPr>
        <w:t xml:space="preserve"> and </w:t>
      </w:r>
      <w:hyperlink r:id="rId12" w:history="1">
        <w:r w:rsidRPr="00A96F82">
          <w:rPr>
            <w:rStyle w:val="Hyperlink"/>
            <w:rFonts w:ascii="Arial" w:hAnsi="Arial" w:cs="Arial"/>
            <w:sz w:val="24"/>
            <w:szCs w:val="24"/>
          </w:rPr>
          <w:t>www.nsopw.gov</w:t>
        </w:r>
      </w:hyperlink>
      <w:r>
        <w:rPr>
          <w:rFonts w:ascii="Arial" w:hAnsi="Arial" w:cs="Arial"/>
          <w:sz w:val="24"/>
          <w:szCs w:val="24"/>
        </w:rPr>
        <w:t>)</w:t>
      </w:r>
    </w:p>
    <w:p w:rsidR="00BB4CBE" w:rsidRPr="009A5356" w:rsidRDefault="00BB4CBE" w:rsidP="00BB4CBE">
      <w:pPr>
        <w:pStyle w:val="ListParagraph"/>
        <w:numPr>
          <w:ilvl w:val="0"/>
          <w:numId w:val="1"/>
        </w:numPr>
        <w:rPr>
          <w:rFonts w:ascii="Arial" w:hAnsi="Arial" w:cs="Arial"/>
          <w:sz w:val="24"/>
          <w:szCs w:val="24"/>
        </w:rPr>
      </w:pPr>
      <w:r w:rsidRPr="009A5356">
        <w:rPr>
          <w:rFonts w:ascii="Arial" w:hAnsi="Arial" w:cs="Arial"/>
          <w:sz w:val="24"/>
          <w:szCs w:val="24"/>
        </w:rPr>
        <w:t>An Insurance Certificate of Liability listing Broward County as additional insured and as Certificate Holder</w:t>
      </w:r>
    </w:p>
    <w:p w:rsidR="00BB4CBE" w:rsidRPr="009A5356" w:rsidRDefault="00BB4CBE" w:rsidP="00BB4CBE">
      <w:pPr>
        <w:pStyle w:val="ListParagraph"/>
        <w:numPr>
          <w:ilvl w:val="0"/>
          <w:numId w:val="1"/>
        </w:numPr>
        <w:rPr>
          <w:rFonts w:ascii="Arial" w:hAnsi="Arial" w:cs="Arial"/>
          <w:sz w:val="24"/>
          <w:szCs w:val="24"/>
        </w:rPr>
      </w:pPr>
      <w:r w:rsidRPr="009A5356">
        <w:rPr>
          <w:rFonts w:ascii="Arial" w:hAnsi="Arial" w:cs="Arial"/>
          <w:sz w:val="24"/>
          <w:szCs w:val="24"/>
        </w:rPr>
        <w:t xml:space="preserve">A Vendor’s </w:t>
      </w:r>
      <w:r>
        <w:rPr>
          <w:rFonts w:ascii="Arial" w:hAnsi="Arial" w:cs="Arial"/>
          <w:sz w:val="24"/>
          <w:szCs w:val="24"/>
        </w:rPr>
        <w:t xml:space="preserve">Permit </w:t>
      </w:r>
      <w:r w:rsidRPr="009A5356">
        <w:rPr>
          <w:rFonts w:ascii="Arial" w:hAnsi="Arial" w:cs="Arial"/>
          <w:sz w:val="24"/>
          <w:szCs w:val="24"/>
        </w:rPr>
        <w:t>Fee</w:t>
      </w:r>
    </w:p>
    <w:p w:rsidR="00BB4CBE" w:rsidRDefault="00BB4CBE" w:rsidP="00BB4CBE">
      <w:pPr>
        <w:rPr>
          <w:rFonts w:ascii="Arial" w:hAnsi="Arial" w:cs="Arial"/>
          <w:sz w:val="24"/>
          <w:szCs w:val="24"/>
        </w:rPr>
      </w:pPr>
      <w:r w:rsidRPr="009A5356">
        <w:rPr>
          <w:rFonts w:ascii="Arial" w:hAnsi="Arial" w:cs="Arial"/>
          <w:sz w:val="24"/>
          <w:szCs w:val="24"/>
        </w:rPr>
        <w:t xml:space="preserve">Once this process is complete, the registered vendor is placed on </w:t>
      </w:r>
      <w:r>
        <w:rPr>
          <w:rFonts w:ascii="Arial" w:hAnsi="Arial" w:cs="Arial"/>
          <w:sz w:val="24"/>
          <w:szCs w:val="24"/>
        </w:rPr>
        <w:t>a list for all patrons to view.  This list is available on our website and updated weekly.  A</w:t>
      </w:r>
      <w:r w:rsidRPr="009A5356">
        <w:rPr>
          <w:rFonts w:ascii="Arial" w:hAnsi="Arial" w:cs="Arial"/>
          <w:sz w:val="24"/>
          <w:szCs w:val="24"/>
        </w:rPr>
        <w:t>s</w:t>
      </w:r>
      <w:r>
        <w:rPr>
          <w:rFonts w:ascii="Arial" w:hAnsi="Arial" w:cs="Arial"/>
          <w:sz w:val="24"/>
          <w:szCs w:val="24"/>
        </w:rPr>
        <w:t xml:space="preserve"> </w:t>
      </w:r>
      <w:r w:rsidRPr="009A5356">
        <w:rPr>
          <w:rFonts w:ascii="Arial" w:hAnsi="Arial" w:cs="Arial"/>
          <w:sz w:val="24"/>
          <w:szCs w:val="24"/>
        </w:rPr>
        <w:t>part of the policy</w:t>
      </w:r>
      <w:r>
        <w:rPr>
          <w:rFonts w:ascii="Arial" w:hAnsi="Arial" w:cs="Arial"/>
          <w:sz w:val="24"/>
          <w:szCs w:val="24"/>
        </w:rPr>
        <w:t>,</w:t>
      </w:r>
      <w:r w:rsidRPr="009A5356">
        <w:rPr>
          <w:rFonts w:ascii="Arial" w:hAnsi="Arial" w:cs="Arial"/>
          <w:sz w:val="24"/>
          <w:szCs w:val="24"/>
        </w:rPr>
        <w:t xml:space="preserve"> </w:t>
      </w:r>
      <w:r>
        <w:rPr>
          <w:rFonts w:ascii="Arial" w:hAnsi="Arial" w:cs="Arial"/>
          <w:sz w:val="24"/>
          <w:szCs w:val="24"/>
        </w:rPr>
        <w:t xml:space="preserve">all </w:t>
      </w:r>
      <w:r w:rsidRPr="009A5356">
        <w:rPr>
          <w:rFonts w:ascii="Arial" w:hAnsi="Arial" w:cs="Arial"/>
          <w:sz w:val="24"/>
          <w:szCs w:val="24"/>
        </w:rPr>
        <w:t xml:space="preserve">patrons </w:t>
      </w:r>
      <w:r>
        <w:rPr>
          <w:rFonts w:ascii="Arial" w:hAnsi="Arial" w:cs="Arial"/>
          <w:sz w:val="24"/>
          <w:szCs w:val="24"/>
        </w:rPr>
        <w:t>who</w:t>
      </w:r>
      <w:r w:rsidRPr="009A5356">
        <w:rPr>
          <w:rFonts w:ascii="Arial" w:hAnsi="Arial" w:cs="Arial"/>
          <w:sz w:val="24"/>
          <w:szCs w:val="24"/>
        </w:rPr>
        <w:t xml:space="preserve"> hire </w:t>
      </w:r>
      <w:r>
        <w:rPr>
          <w:rFonts w:ascii="Arial" w:hAnsi="Arial" w:cs="Arial"/>
          <w:sz w:val="24"/>
          <w:szCs w:val="24"/>
        </w:rPr>
        <w:t xml:space="preserve">vendors must hire </w:t>
      </w:r>
      <w:r w:rsidRPr="009A5356">
        <w:rPr>
          <w:rFonts w:ascii="Arial" w:hAnsi="Arial" w:cs="Arial"/>
          <w:sz w:val="24"/>
          <w:szCs w:val="24"/>
        </w:rPr>
        <w:t>registered vendors.</w:t>
      </w:r>
    </w:p>
    <w:p w:rsidR="00BB4CBE" w:rsidRDefault="00BB4CBE" w:rsidP="00BB4CBE">
      <w:pPr>
        <w:rPr>
          <w:rFonts w:ascii="Arial" w:hAnsi="Arial" w:cs="Arial"/>
          <w:sz w:val="24"/>
          <w:szCs w:val="24"/>
        </w:rPr>
      </w:pPr>
      <w:r>
        <w:rPr>
          <w:rFonts w:ascii="Arial" w:hAnsi="Arial" w:cs="Arial"/>
          <w:sz w:val="24"/>
          <w:szCs w:val="24"/>
        </w:rPr>
        <w:t>The vendor’s information is entered into RecTrac. The vendor is registered for one year pending the expiration date the application.  Monitoring of the vendor’s status is performed through RecTrac and any lapse in insurance or application renewal leads to removal from the list.</w:t>
      </w:r>
    </w:p>
    <w:p w:rsidR="00BB4CBE" w:rsidRPr="009A5356" w:rsidRDefault="00BB4CBE" w:rsidP="00BB4CBE">
      <w:pPr>
        <w:rPr>
          <w:rFonts w:ascii="Arial" w:hAnsi="Arial" w:cs="Arial"/>
          <w:sz w:val="24"/>
          <w:szCs w:val="24"/>
        </w:rPr>
      </w:pPr>
      <w:r>
        <w:rPr>
          <w:rFonts w:ascii="Arial" w:hAnsi="Arial" w:cs="Arial"/>
          <w:sz w:val="24"/>
          <w:szCs w:val="24"/>
        </w:rPr>
        <w:t>The vendor is required to contact the park, where they are doing business, at least forty-eight (48) hours in advance for a park pass.  This allows the park to know which vendor is conducting business in the park and what types of apparatus to expect.</w:t>
      </w:r>
    </w:p>
    <w:p w:rsidR="00E83C1E" w:rsidRDefault="00E83C1E" w:rsidP="0033286B">
      <w:pPr>
        <w:rPr>
          <w:rFonts w:asciiTheme="minorHAnsi" w:hAnsiTheme="minorHAnsi"/>
          <w:sz w:val="24"/>
          <w:szCs w:val="24"/>
        </w:rPr>
      </w:pPr>
    </w:p>
    <w:p w:rsidR="00BB4CBE" w:rsidRDefault="00BB4CBE" w:rsidP="0033286B">
      <w:pPr>
        <w:rPr>
          <w:rFonts w:asciiTheme="minorHAnsi" w:hAnsiTheme="minorHAnsi"/>
          <w:sz w:val="24"/>
          <w:szCs w:val="24"/>
        </w:rPr>
      </w:pPr>
      <w:r>
        <w:rPr>
          <w:rFonts w:asciiTheme="minorHAnsi" w:hAnsiTheme="minorHAnsi"/>
          <w:sz w:val="24"/>
          <w:szCs w:val="24"/>
        </w:rPr>
        <w:t>T</w:t>
      </w:r>
      <w:r w:rsidR="00132E5E">
        <w:rPr>
          <w:rFonts w:asciiTheme="minorHAnsi" w:hAnsiTheme="minorHAnsi"/>
          <w:sz w:val="24"/>
          <w:szCs w:val="24"/>
        </w:rPr>
        <w:t xml:space="preserve">his was adopted as part of a Broward County Policy and implemented across our Parks system. Effectiveness is measured by the number of vendors registering and renewing, since January 2016 we have had 550 registrations or renewals. </w:t>
      </w:r>
    </w:p>
    <w:p w:rsidR="00132E5E" w:rsidRDefault="00132E5E" w:rsidP="0033286B">
      <w:pPr>
        <w:rPr>
          <w:rFonts w:asciiTheme="minorHAnsi" w:hAnsiTheme="minorHAnsi"/>
          <w:sz w:val="24"/>
          <w:szCs w:val="24"/>
        </w:rPr>
      </w:pPr>
    </w:p>
    <w:p w:rsidR="00132E5E" w:rsidRDefault="00132E5E" w:rsidP="0033286B">
      <w:pPr>
        <w:rPr>
          <w:rFonts w:asciiTheme="minorHAnsi" w:hAnsiTheme="minorHAnsi"/>
          <w:sz w:val="24"/>
          <w:szCs w:val="24"/>
        </w:rPr>
      </w:pPr>
      <w:r>
        <w:rPr>
          <w:rFonts w:asciiTheme="minorHAnsi" w:hAnsiTheme="minorHAnsi"/>
          <w:sz w:val="24"/>
          <w:szCs w:val="24"/>
        </w:rPr>
        <w:t>In addition to the registered vendor process, we allow special event promoters to bring in their own selected vendors by paying a concession fee. These vendors go through a similar process, but do not have to pay a fee to Broward County which can encourage some of the more local vendors (such as a neighborhood restaurant that might not normally cater) to participate at our Parks.</w:t>
      </w:r>
      <w:bookmarkStart w:id="0" w:name="_GoBack"/>
      <w:bookmarkEnd w:id="0"/>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b/>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w:t>
      </w:r>
      <w:r w:rsidR="00BB4CBE">
        <w:rPr>
          <w:rFonts w:asciiTheme="minorHAnsi" w:hAnsiTheme="minorHAnsi"/>
          <w:sz w:val="24"/>
          <w:szCs w:val="24"/>
        </w:rPr>
        <w:t>D</w:t>
      </w:r>
      <w:r>
        <w:rPr>
          <w:rFonts w:asciiTheme="minorHAnsi" w:hAnsiTheme="minorHAnsi"/>
          <w:sz w:val="24"/>
          <w:szCs w:val="24"/>
        </w:rPr>
        <w:t>aily</w:t>
      </w:r>
    </w:p>
    <w:p w:rsidR="00E4295D" w:rsidRPr="00992398" w:rsidRDefault="00E4295D" w:rsidP="0033286B">
      <w:pPr>
        <w:rPr>
          <w:rFonts w:asciiTheme="minorHAnsi" w:hAnsiTheme="minorHAnsi"/>
          <w:b/>
          <w:sz w:val="24"/>
          <w:szCs w:val="24"/>
        </w:rPr>
      </w:pPr>
    </w:p>
    <w:p w:rsidR="00E4295D" w:rsidRP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sidR="00BB4CBE">
        <w:rPr>
          <w:rFonts w:asciiTheme="minorHAnsi" w:hAnsiTheme="minorHAnsi"/>
          <w:sz w:val="24"/>
          <w:szCs w:val="24"/>
        </w:rPr>
        <w:t xml:space="preserve">In-house Business Operations </w:t>
      </w:r>
      <w:proofErr w:type="gramStart"/>
      <w:r w:rsidR="00BB4CBE">
        <w:rPr>
          <w:rFonts w:asciiTheme="minorHAnsi" w:hAnsiTheme="minorHAnsi"/>
          <w:sz w:val="24"/>
          <w:szCs w:val="24"/>
        </w:rPr>
        <w:t>staff</w:t>
      </w:r>
      <w:proofErr w:type="gramEnd"/>
    </w:p>
    <w:p w:rsidR="00992398" w:rsidRDefault="00992398" w:rsidP="0033286B">
      <w:pPr>
        <w:rPr>
          <w:rFonts w:asciiTheme="minorHAnsi" w:hAnsiTheme="minorHAnsi"/>
          <w:sz w:val="24"/>
          <w:szCs w:val="24"/>
        </w:rPr>
      </w:pPr>
    </w:p>
    <w:p w:rsidR="00992398" w:rsidRPr="00BB4CBE" w:rsidRDefault="00E4295D" w:rsidP="0033286B">
      <w:pPr>
        <w:rPr>
          <w:rFonts w:asciiTheme="minorHAnsi" w:hAnsiTheme="minorHAnsi"/>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BB4CBE">
        <w:rPr>
          <w:rFonts w:asciiTheme="minorHAnsi" w:hAnsiTheme="minorHAnsi"/>
          <w:b/>
          <w:sz w:val="24"/>
          <w:szCs w:val="24"/>
        </w:rPr>
        <w:t xml:space="preserve"> </w:t>
      </w:r>
      <w:r w:rsidR="00BB4CBE">
        <w:rPr>
          <w:rFonts w:asciiTheme="minorHAnsi" w:hAnsiTheme="minorHAnsi"/>
          <w:sz w:val="24"/>
          <w:szCs w:val="24"/>
        </w:rPr>
        <w:t>Provides a complete resource for patrons looking for local vendors that can provide services and has vendors identified by service provided. If a vendor passes their renewal period and receives a follow-up call, they often remark something to the effect of “oh we had noticed we were getting fewer calls” which suggests that the list is encouraging business to these vendors. By having a registered vendor process, patrons and regular field staff at the parks can feel more comfortable knowing that there is a level of screening and requirements that are understood by the vendors. By incorporating the data in RecTrac, it allows for better tracking of vendors and ease of use for staff for creating park access passes and to have trackable notes on vendor behaviors to increase accountability.</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Pr="00BB4CBE" w:rsidRDefault="00E4295D" w:rsidP="0033286B">
      <w:pPr>
        <w:rPr>
          <w:rFonts w:asciiTheme="minorHAnsi" w:hAnsiTheme="minorHAnsi"/>
          <w:sz w:val="24"/>
          <w:szCs w:val="24"/>
        </w:rPr>
      </w:pPr>
      <w:r>
        <w:rPr>
          <w:rFonts w:asciiTheme="minorHAnsi" w:hAnsiTheme="minorHAnsi"/>
          <w:b/>
          <w:sz w:val="24"/>
          <w:szCs w:val="24"/>
        </w:rPr>
        <w:t>Grants or Funding Received (if any):</w:t>
      </w:r>
      <w:r w:rsidR="00BB4CBE">
        <w:rPr>
          <w:rFonts w:asciiTheme="minorHAnsi" w:hAnsiTheme="minorHAnsi"/>
          <w:b/>
          <w:sz w:val="24"/>
          <w:szCs w:val="24"/>
        </w:rPr>
        <w:t xml:space="preserve"> </w:t>
      </w:r>
      <w:r w:rsidR="00BB4CBE">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BB4CBE" w:rsidP="0033286B">
      <w:pPr>
        <w:rPr>
          <w:rFonts w:asciiTheme="minorHAnsi" w:hAnsiTheme="minorHAnsi"/>
          <w:sz w:val="24"/>
          <w:szCs w:val="24"/>
        </w:rPr>
      </w:pPr>
      <w:r>
        <w:rPr>
          <w:rFonts w:asciiTheme="minorHAnsi" w:hAnsiTheme="minorHAnsi"/>
          <w:sz w:val="24"/>
          <w:szCs w:val="24"/>
        </w:rPr>
        <w:t>Procedures and guidelines for special events and requirements of sponsors/event promoters (</w:t>
      </w:r>
      <w:proofErr w:type="spellStart"/>
      <w:r>
        <w:rPr>
          <w:rFonts w:asciiTheme="minorHAnsi" w:hAnsiTheme="minorHAnsi"/>
          <w:sz w:val="24"/>
          <w:szCs w:val="24"/>
        </w:rPr>
        <w:t>ie</w:t>
      </w:r>
      <w:proofErr w:type="spellEnd"/>
      <w:r>
        <w:rPr>
          <w:rFonts w:asciiTheme="minorHAnsi" w:hAnsiTheme="minorHAnsi"/>
          <w:sz w:val="24"/>
          <w:szCs w:val="24"/>
        </w:rPr>
        <w:t xml:space="preserve"> are sponsors that are onsite handing out promotional papers required to submit insurance as a vendor would be?)</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3"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39" w:rsidRDefault="00716639" w:rsidP="004B1D55">
      <w:r>
        <w:separator/>
      </w:r>
    </w:p>
  </w:endnote>
  <w:endnote w:type="continuationSeparator" w:id="0">
    <w:p w:rsidR="00716639" w:rsidRDefault="00716639"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39" w:rsidRDefault="00716639" w:rsidP="004B1D55">
      <w:r>
        <w:separator/>
      </w:r>
    </w:p>
  </w:footnote>
  <w:footnote w:type="continuationSeparator" w:id="0">
    <w:p w:rsidR="00716639" w:rsidRDefault="00716639"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55" w:rsidRDefault="004B1D55"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D33BC"/>
    <w:multiLevelType w:val="hybridMultilevel"/>
    <w:tmpl w:val="DAE62D96"/>
    <w:lvl w:ilvl="0" w:tplc="A10233D4">
      <w:start w:val="200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6B"/>
    <w:rsid w:val="00132E5E"/>
    <w:rsid w:val="001870F2"/>
    <w:rsid w:val="001D56EA"/>
    <w:rsid w:val="001E27D0"/>
    <w:rsid w:val="00233196"/>
    <w:rsid w:val="0033286B"/>
    <w:rsid w:val="003E1CAA"/>
    <w:rsid w:val="004B1D55"/>
    <w:rsid w:val="004F6BED"/>
    <w:rsid w:val="005A5C11"/>
    <w:rsid w:val="005E2EEC"/>
    <w:rsid w:val="005F4F09"/>
    <w:rsid w:val="00653FB6"/>
    <w:rsid w:val="006F5EC6"/>
    <w:rsid w:val="00716639"/>
    <w:rsid w:val="00804150"/>
    <w:rsid w:val="008E5C08"/>
    <w:rsid w:val="00944353"/>
    <w:rsid w:val="00992398"/>
    <w:rsid w:val="009E3770"/>
    <w:rsid w:val="00A74D36"/>
    <w:rsid w:val="00BB4CBE"/>
    <w:rsid w:val="00BC2F79"/>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3A6A5-72D7-47B3-977E-1E574AD6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BB4CB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la@fr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opw.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le.state.fl.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ward.org/par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11B6-8EF2-4FDD-A2AA-F01E62AC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Ortiz, Nicolas</cp:lastModifiedBy>
  <cp:revision>2</cp:revision>
  <cp:lastPrinted>2017-02-28T20:25:00Z</cp:lastPrinted>
  <dcterms:created xsi:type="dcterms:W3CDTF">2017-02-28T20:26:00Z</dcterms:created>
  <dcterms:modified xsi:type="dcterms:W3CDTF">2017-02-28T20:26:00Z</dcterms:modified>
</cp:coreProperties>
</file>